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ae"/>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sdt>
              <w:sdtPr>
                <w:rPr>
                  <w:rFonts w:eastAsia="Cambria" w:cstheme="minorHAnsi"/>
                  <w:sz w:val="16"/>
                  <w:szCs w:val="16"/>
                </w:rPr>
                <w:alias w:val="Title"/>
                <w:tag w:val="Title"/>
                <w:id w:val="1572937452"/>
                <w:placeholder>
                  <w:docPart w:val="877A91DE811D4F519CA735E2914E1701"/>
                </w:placeholder>
              </w:sdtPr>
              <w:sdtEndPr>
                <w:rPr>
                  <w:rFonts w:ascii="Tahoma" w:hAnsi="Tahoma" w:cs="Tahoma"/>
                </w:rPr>
              </w:sdtEndPr>
              <w:sdtContent>
                <w:tc>
                  <w:tcPr>
                    <w:tcW w:w="2394" w:type="pct"/>
                  </w:tcPr>
                  <w:p w14:paraId="0F0B04AE" w14:textId="64518CBD" w:rsidR="004556FB" w:rsidRPr="00FC798B" w:rsidRDefault="00ED1D3F">
                    <w:pPr>
                      <w:rPr>
                        <w:rFonts w:eastAsia="Cambria" w:cstheme="minorHAnsi"/>
                        <w:sz w:val="16"/>
                        <w:szCs w:val="16"/>
                      </w:rPr>
                    </w:pPr>
                    <w:r w:rsidRPr="00E90ECB">
                      <w:rPr>
                        <w:lang w:val="en-US"/>
                      </w:rPr>
                      <w:t>Proceedings of the 2</w:t>
                    </w:r>
                    <w:r w:rsidR="003F2420">
                      <w:rPr>
                        <w:lang w:val="en-US"/>
                      </w:rPr>
                      <w:t>7</w:t>
                    </w:r>
                    <w:r>
                      <w:rPr>
                        <w:lang w:val="en-US"/>
                      </w:rPr>
                      <w:t>th</w:t>
                    </w:r>
                    <w:r w:rsidRPr="00E90ECB">
                      <w:rPr>
                        <w:lang w:val="en-US"/>
                      </w:rPr>
                      <w:t xml:space="preserve"> Engineering Applications of Neural Networks Conference </w:t>
                    </w:r>
                    <w:r>
                      <w:rPr>
                        <w:lang w:val="en-US"/>
                      </w:rPr>
                      <w:t>–</w:t>
                    </w:r>
                    <w:r w:rsidRPr="00E90ECB">
                      <w:rPr>
                        <w:lang w:val="en-US"/>
                      </w:rPr>
                      <w:t xml:space="preserve"> EANN</w:t>
                    </w:r>
                    <w:r>
                      <w:rPr>
                        <w:lang w:val="en-US"/>
                      </w:rPr>
                      <w:t xml:space="preserve"> / EAAAI</w:t>
                    </w:r>
                    <w:r w:rsidRPr="00E90ECB">
                      <w:rPr>
                        <w:lang w:val="en-US"/>
                      </w:rPr>
                      <w:t xml:space="preserve"> 202</w:t>
                    </w:r>
                    <w:r w:rsidR="003F2420">
                      <w:rPr>
                        <w:lang w:val="en-US"/>
                      </w:rPr>
                      <w:t>6</w:t>
                    </w:r>
                  </w:p>
                </w:tc>
              </w:sdtContent>
            </w:sdt>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sdt>
              <w:sdtPr>
                <w:rPr>
                  <w:rFonts w:eastAsia="Cambria" w:cstheme="minorHAnsi"/>
                  <w:sz w:val="16"/>
                  <w:szCs w:val="16"/>
                </w:rPr>
                <w:alias w:val="Volume Editor Name"/>
                <w:tag w:val="Volume Editor Name"/>
                <w:id w:val="-819260584"/>
                <w:placeholder>
                  <w:docPart w:val="DAABD610C71849CCA5ACF54239B2AEF5"/>
                </w:placeholder>
              </w:sdtPr>
              <w:sdtEndPr>
                <w:rPr>
                  <w:rFonts w:ascii="Tahoma" w:hAnsi="Tahoma" w:cs="Tahoma"/>
                </w:rPr>
              </w:sdtEndPr>
              <w:sdtContent>
                <w:tc>
                  <w:tcPr>
                    <w:tcW w:w="2394" w:type="pct"/>
                  </w:tcPr>
                  <w:p w14:paraId="0F8362C7" w14:textId="536BE812" w:rsidR="004556FB" w:rsidRPr="00FC798B" w:rsidRDefault="00454357">
                    <w:pPr>
                      <w:rPr>
                        <w:rFonts w:eastAsia="Cambria" w:cstheme="minorHAnsi"/>
                        <w:sz w:val="16"/>
                        <w:szCs w:val="16"/>
                      </w:rPr>
                    </w:pPr>
                    <w:r w:rsidRPr="00040D82">
                      <w:rPr>
                        <w:rFonts w:ascii="Tahoma" w:eastAsia="Cambria" w:hAnsi="Tahoma" w:cs="Tahoma"/>
                        <w:sz w:val="16"/>
                        <w:szCs w:val="16"/>
                      </w:rPr>
                      <w:t xml:space="preserve">Lazaros Iliadis, Ilias Maglogiannis, </w:t>
                    </w:r>
                    <w:r w:rsidR="00EC451A" w:rsidRPr="00EC451A">
                      <w:rPr>
                        <w:rFonts w:ascii="Tahoma" w:eastAsia="Cambria" w:hAnsi="Tahoma" w:cs="Tahoma"/>
                        <w:sz w:val="16"/>
                        <w:szCs w:val="16"/>
                      </w:rPr>
                      <w:t>Marios Antonakakis</w:t>
                    </w:r>
                    <w:r>
                      <w:rPr>
                        <w:rFonts w:ascii="Tahoma" w:eastAsia="Cambria" w:hAnsi="Tahoma" w:cs="Tahoma"/>
                        <w:sz w:val="16"/>
                        <w:szCs w:val="16"/>
                      </w:rPr>
                      <w:t xml:space="preserve">, </w:t>
                    </w:r>
                    <w:r w:rsidRPr="00040D82">
                      <w:rPr>
                        <w:rFonts w:ascii="Tahoma" w:eastAsia="Cambria" w:hAnsi="Tahoma" w:cs="Tahoma"/>
                        <w:sz w:val="16"/>
                        <w:szCs w:val="16"/>
                      </w:rPr>
                      <w:t>Chrisina Jayne</w:t>
                    </w:r>
                  </w:p>
                </w:tc>
              </w:sdtContent>
            </w:sdt>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1DC69A2C"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362AF7" w:rsidRPr="00362AF7">
                  <w:rPr>
                    <w:rFonts w:eastAsia="Cambria" w:cstheme="minorHAnsi"/>
                    <w:sz w:val="16"/>
                    <w:szCs w:val="16"/>
                  </w:rPr>
                  <w:t>A Springer Nature Computer Science book series (CCIS, LNAI, LNBI, LNBIP or 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
            <w:rFonts w:eastAsia="Arial" w:cstheme="minorHAnsi"/>
            <w:bCs/>
            <w:sz w:val="20"/>
            <w:szCs w:val="20"/>
            <w:lang w:eastAsia="en-GB"/>
          </w:rPr>
          <w:t>https://www.springernature.com/gp/authors/book-authors-</w:t>
        </w:r>
        <w:r w:rsidR="004556FB" w:rsidRPr="00FC798B">
          <w:rPr>
            <w:rStyle w:val="-"/>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a5"/>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a5"/>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36E4" w14:textId="77777777" w:rsidR="007A0022" w:rsidRDefault="007A0022">
      <w:pPr>
        <w:spacing w:after="0" w:line="240" w:lineRule="auto"/>
      </w:pPr>
      <w:r>
        <w:separator/>
      </w:r>
    </w:p>
  </w:endnote>
  <w:endnote w:type="continuationSeparator" w:id="0">
    <w:p w14:paraId="5997374A" w14:textId="77777777" w:rsidR="007A0022" w:rsidRDefault="007A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a7"/>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1492" w14:textId="77777777" w:rsidR="007A0022" w:rsidRDefault="007A0022">
      <w:pPr>
        <w:spacing w:after="0" w:line="240" w:lineRule="auto"/>
      </w:pPr>
      <w:r>
        <w:separator/>
      </w:r>
    </w:p>
  </w:footnote>
  <w:footnote w:type="continuationSeparator" w:id="0">
    <w:p w14:paraId="2385168A" w14:textId="77777777" w:rsidR="007A0022" w:rsidRDefault="007A0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77777777" w:rsidR="004556FB" w:rsidRDefault="004556F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77777777" w:rsidR="004556FB" w:rsidRDefault="004556F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77777777" w:rsidR="004556FB" w:rsidRDefault="004556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E0FC6"/>
    <w:rsid w:val="00362AF7"/>
    <w:rsid w:val="003F2420"/>
    <w:rsid w:val="00454357"/>
    <w:rsid w:val="004556FB"/>
    <w:rsid w:val="00462BD5"/>
    <w:rsid w:val="00584C4C"/>
    <w:rsid w:val="007A0022"/>
    <w:rsid w:val="0080389B"/>
    <w:rsid w:val="00823E17"/>
    <w:rsid w:val="00882FB0"/>
    <w:rsid w:val="009730E4"/>
    <w:rsid w:val="00976D30"/>
    <w:rsid w:val="00A97A91"/>
    <w:rsid w:val="00B13976"/>
    <w:rsid w:val="00B8215D"/>
    <w:rsid w:val="00BA0FF0"/>
    <w:rsid w:val="00C354FB"/>
    <w:rsid w:val="00D31A45"/>
    <w:rsid w:val="00D358C2"/>
    <w:rsid w:val="00DD4A01"/>
    <w:rsid w:val="00EC451A"/>
    <w:rsid w:val="00ED1D3F"/>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pPr>
    <w:rPr>
      <w:rFonts w:ascii="Arial" w:eastAsia="Arial" w:hAnsi="Arial" w:cs="Arial"/>
      <w:sz w:val="20"/>
      <w:szCs w:val="20"/>
      <w:lang w:eastAsia="en-GB"/>
    </w:rPr>
  </w:style>
  <w:style w:type="character" w:customStyle="1" w:styleId="Char">
    <w:name w:val="Κείμενο σχολίου Char"/>
    <w:basedOn w:val="a0"/>
    <w:link w:val="a3"/>
    <w:uiPriority w:val="99"/>
    <w:semiHidden/>
    <w:rPr>
      <w:rFonts w:ascii="Arial" w:eastAsia="Arial" w:hAnsi="Arial" w:cs="Arial"/>
      <w:sz w:val="20"/>
      <w:szCs w:val="20"/>
      <w:lang w:eastAsia="en-GB"/>
    </w:rPr>
  </w:style>
  <w:style w:type="character" w:styleId="a4">
    <w:name w:val="annotation reference"/>
    <w:basedOn w:val="a0"/>
    <w:uiPriority w:val="99"/>
    <w:semiHidden/>
    <w:unhideWhenUsed/>
    <w:rPr>
      <w:sz w:val="16"/>
      <w:szCs w:val="16"/>
    </w:rPr>
  </w:style>
  <w:style w:type="table" w:styleId="a5">
    <w:name w:val="Table Grid"/>
    <w:basedOn w:val="a1"/>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har0">
    <w:name w:val="Κεφαλίδα Char"/>
    <w:basedOn w:val="a0"/>
    <w:link w:val="a6"/>
    <w:uiPriority w:val="99"/>
    <w:rPr>
      <w:rFonts w:ascii="Arial" w:eastAsia="Arial" w:hAnsi="Arial" w:cs="Arial"/>
      <w:lang w:eastAsia="en-GB"/>
    </w:rPr>
  </w:style>
  <w:style w:type="paragraph" w:styleId="a7">
    <w:name w:val="footer"/>
    <w:basedOn w:val="a"/>
    <w:link w:val="Char1"/>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har1">
    <w:name w:val="Υποσέλιδο Char"/>
    <w:basedOn w:val="a0"/>
    <w:link w:val="a7"/>
    <w:uiPriority w:val="99"/>
    <w:rPr>
      <w:rFonts w:ascii="Arial" w:eastAsia="Arial" w:hAnsi="Arial" w:cs="Arial"/>
      <w:lang w:eastAsia="en-GB"/>
    </w:rPr>
  </w:style>
  <w:style w:type="table" w:customStyle="1" w:styleId="TableGrid1">
    <w:name w:val="Table Grid1"/>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Pr>
      <w:rFonts w:ascii="Segoe UI" w:hAnsi="Segoe UI" w:cs="Segoe UI"/>
      <w:sz w:val="18"/>
      <w:szCs w:val="18"/>
    </w:rPr>
  </w:style>
  <w:style w:type="character" w:styleId="a9">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a">
    <w:name w:val="List Paragraph"/>
    <w:basedOn w:val="a"/>
    <w:uiPriority w:val="34"/>
    <w:qFormat/>
    <w:pPr>
      <w:ind w:left="720"/>
      <w:contextualSpacing/>
    </w:pPr>
  </w:style>
  <w:style w:type="paragraph" w:styleId="ab">
    <w:name w:val="annotation subject"/>
    <w:basedOn w:val="a3"/>
    <w:next w:val="a3"/>
    <w:link w:val="Char3"/>
    <w:uiPriority w:val="99"/>
    <w:semiHidden/>
    <w:unhideWhenUsed/>
    <w:pPr>
      <w:spacing w:after="160"/>
    </w:pPr>
    <w:rPr>
      <w:rFonts w:asciiTheme="minorHAnsi" w:eastAsiaTheme="minorHAnsi" w:hAnsiTheme="minorHAnsi" w:cstheme="minorBidi"/>
      <w:b/>
      <w:bCs/>
      <w:lang w:eastAsia="en-US"/>
    </w:rPr>
  </w:style>
  <w:style w:type="character" w:customStyle="1" w:styleId="Char3">
    <w:name w:val="Θέμα σχολίου Char"/>
    <w:basedOn w:val="Char"/>
    <w:link w:val="ab"/>
    <w:uiPriority w:val="99"/>
    <w:semiHidden/>
    <w:rPr>
      <w:rFonts w:ascii="Arial" w:eastAsia="Arial" w:hAnsi="Arial" w:cs="Arial"/>
      <w:b/>
      <w:bCs/>
      <w:sz w:val="20"/>
      <w:szCs w:val="20"/>
      <w:lang w:eastAsia="en-GB"/>
    </w:rPr>
  </w:style>
  <w:style w:type="paragraph" w:styleId="ac">
    <w:name w:val="Revision"/>
    <w:hidden/>
    <w:uiPriority w:val="99"/>
    <w:semiHidden/>
    <w:pPr>
      <w:spacing w:after="0" w:line="240" w:lineRule="auto"/>
    </w:pPr>
  </w:style>
  <w:style w:type="table" w:customStyle="1" w:styleId="TableGrid2">
    <w:name w:val="Table Grid2"/>
    <w:basedOn w:val="a1"/>
    <w:next w:val="a5"/>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Pr>
      <w:color w:val="605E5C"/>
      <w:shd w:val="clear" w:color="auto" w:fill="E1DFDD"/>
    </w:rPr>
  </w:style>
  <w:style w:type="character" w:styleId="-0">
    <w:name w:val="FollowedHyperlink"/>
    <w:basedOn w:val="a0"/>
    <w:uiPriority w:val="99"/>
    <w:semiHidden/>
    <w:unhideWhenUsed/>
    <w:rPr>
      <w:color w:val="954F72" w:themeColor="followedHyperlink"/>
      <w:u w:val="single"/>
    </w:rPr>
  </w:style>
  <w:style w:type="character" w:styleId="ad">
    <w:name w:val="Unresolved Mention"/>
    <w:basedOn w:val="a0"/>
    <w:uiPriority w:val="99"/>
    <w:semiHidden/>
    <w:unhideWhenUsed/>
    <w:rsid w:val="00882FB0"/>
    <w:rPr>
      <w:color w:val="605E5C"/>
      <w:shd w:val="clear" w:color="auto" w:fill="E1DFDD"/>
    </w:rPr>
  </w:style>
  <w:style w:type="paragraph" w:styleId="ae">
    <w:name w:val="Title"/>
    <w:basedOn w:val="a"/>
    <w:next w:val="a"/>
    <w:link w:val="Char4"/>
    <w:uiPriority w:val="10"/>
    <w:qFormat/>
    <w:rsid w:val="009730E4"/>
    <w:pPr>
      <w:spacing w:after="0" w:line="240" w:lineRule="auto"/>
    </w:pPr>
    <w:rPr>
      <w:rFonts w:eastAsia="Calibri" w:cstheme="minorHAnsi"/>
      <w:b/>
      <w:iCs/>
      <w:sz w:val="28"/>
    </w:rPr>
  </w:style>
  <w:style w:type="character" w:customStyle="1" w:styleId="Char4">
    <w:name w:val="Τίτλος Char"/>
    <w:basedOn w:val="a0"/>
    <w:link w:val="ae"/>
    <w:uiPriority w:val="10"/>
    <w:rsid w:val="009730E4"/>
    <w:rPr>
      <w:rFonts w:eastAsia="Calibri" w:cstheme="minorHAnsi"/>
      <w:b/>
      <w:iCs/>
      <w:sz w:val="28"/>
    </w:rPr>
  </w:style>
  <w:style w:type="character" w:customStyle="1" w:styleId="1Char">
    <w:name w:val="Επικεφαλίδα 1 Char"/>
    <w:basedOn w:val="a0"/>
    <w:link w:val="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
      <w:docPartPr>
        <w:name w:val="877A91DE811D4F519CA735E2914E1701"/>
        <w:category>
          <w:name w:val="Γενικά"/>
          <w:gallery w:val="placeholder"/>
        </w:category>
        <w:types>
          <w:type w:val="bbPlcHdr"/>
        </w:types>
        <w:behaviors>
          <w:behavior w:val="content"/>
        </w:behaviors>
        <w:guid w:val="{EECEBDA7-DAE7-4A44-898A-C96EE3E368E4}"/>
      </w:docPartPr>
      <w:docPartBody>
        <w:p w:rsidR="00000000" w:rsidRDefault="00B04274" w:rsidP="00B04274">
          <w:pPr>
            <w:pStyle w:val="877A91DE811D4F519CA735E2914E1701"/>
          </w:pPr>
          <w:r w:rsidRPr="00C73BB6">
            <w:rPr>
              <w:rFonts w:ascii="Tahoma" w:eastAsia="Cambria" w:hAnsi="Tahoma" w:cs="Tahoma"/>
              <w:color w:val="808080"/>
              <w:sz w:val="16"/>
              <w:szCs w:val="16"/>
            </w:rPr>
            <w:t>Click here to enter text.</w:t>
          </w:r>
        </w:p>
      </w:docPartBody>
    </w:docPart>
    <w:docPart>
      <w:docPartPr>
        <w:name w:val="DAABD610C71849CCA5ACF54239B2AEF5"/>
        <w:category>
          <w:name w:val="Γενικά"/>
          <w:gallery w:val="placeholder"/>
        </w:category>
        <w:types>
          <w:type w:val="bbPlcHdr"/>
        </w:types>
        <w:behaviors>
          <w:behavior w:val="content"/>
        </w:behaviors>
        <w:guid w:val="{64E78159-C457-4CAD-A4D0-3012927C9319}"/>
      </w:docPartPr>
      <w:docPartBody>
        <w:p w:rsidR="00000000" w:rsidRDefault="00B04274" w:rsidP="00B04274">
          <w:pPr>
            <w:pStyle w:val="DAABD610C71849CCA5ACF54239B2AEF5"/>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76D30"/>
    <w:rsid w:val="00987156"/>
    <w:rsid w:val="00A060B4"/>
    <w:rsid w:val="00A8697E"/>
    <w:rsid w:val="00AB39E9"/>
    <w:rsid w:val="00B04274"/>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26EB7"/>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877A91DE811D4F519CA735E2914E1701">
    <w:name w:val="877A91DE811D4F519CA735E2914E1701"/>
    <w:rsid w:val="00B04274"/>
    <w:pPr>
      <w:spacing w:line="278" w:lineRule="auto"/>
    </w:pPr>
    <w:rPr>
      <w:kern w:val="2"/>
      <w:sz w:val="24"/>
      <w:szCs w:val="24"/>
      <w:lang w:val="el-GR" w:eastAsia="el-GR"/>
      <w14:ligatures w14:val="standardContextual"/>
    </w:rPr>
  </w:style>
  <w:style w:type="paragraph" w:customStyle="1" w:styleId="DAABD610C71849CCA5ACF54239B2AEF5">
    <w:name w:val="DAABD610C71849CCA5ACF54239B2AEF5"/>
    <w:rsid w:val="00B04274"/>
    <w:pPr>
      <w:spacing w:line="278" w:lineRule="auto"/>
    </w:pPr>
    <w:rPr>
      <w:kern w:val="2"/>
      <w:sz w:val="24"/>
      <w:szCs w:val="24"/>
      <w:lang w:val="el-GR" w:eastAsia="el-G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6EEAB147-0A35-45A3-8D92-DFB540779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2293</Words>
  <Characters>12384</Characters>
  <Application>Microsoft Office Word</Application>
  <DocSecurity>0</DocSecurity>
  <Lines>103</Lines>
  <Paragraphs>29</Paragraphs>
  <ScaleCrop>false</ScaleCrop>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Αντωνιος Παπαλεωνιδας</cp:lastModifiedBy>
  <cp:revision>7</cp:revision>
  <dcterms:created xsi:type="dcterms:W3CDTF">2026-01-19T09:51:00Z</dcterms:created>
  <dcterms:modified xsi:type="dcterms:W3CDTF">2026-04-07T14:55:00Z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